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758180" cy="158496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584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vertAlign w:val="baseline"/>
          <w:rtl w:val="0"/>
        </w:rPr>
        <w:t xml:space="preserve">Fournitures pour la rentrée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vertAlign w:val="baseline"/>
          <w:rtl w:val="0"/>
        </w:rPr>
        <w:t xml:space="preserve">Classe de CE2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vertAlign w:val="baseline"/>
          <w:rtl w:val="0"/>
        </w:rPr>
        <w:t xml:space="preserve">Mme BISSON Morgane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2 trousses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53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</w:t>
      </w: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crayon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 à papier, 1 gomme, 1 taille-crayon </w:t>
      </w:r>
      <w:r w:rsidDel="00000000" w:rsidR="00000000" w:rsidRPr="00000000">
        <w:rPr>
          <w:rFonts w:ascii="Comic Sans MS" w:cs="Comic Sans MS" w:eastAsia="Comic Sans MS" w:hAnsi="Comic Sans MS"/>
          <w:u w:val="single"/>
          <w:vertAlign w:val="baseline"/>
          <w:rtl w:val="0"/>
        </w:rPr>
        <w:t xml:space="preserve">avec réservoir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stylos à bille : 1 bleu, 1 rouge, 1 vert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stylo plume ou stylo effaçable et des cartouches d’encre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effaceur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double décimètre (20 cm)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vertAlign w:val="baseline"/>
          <w:rtl w:val="0"/>
        </w:rPr>
        <w:t xml:space="preserve">pas de règle en métal, non flexible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33350" distR="114300" hidden="0" layoutInCell="1" locked="0" relativeHeight="0" simplePos="0">
            <wp:simplePos x="0" y="0"/>
            <wp:positionH relativeFrom="column">
              <wp:posOffset>5265420</wp:posOffset>
            </wp:positionH>
            <wp:positionV relativeFrom="paragraph">
              <wp:posOffset>10160</wp:posOffset>
            </wp:positionV>
            <wp:extent cx="1275080" cy="158559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2979" l="3204" r="59054" t="53858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585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équerre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vertAlign w:val="baseline"/>
          <w:rtl w:val="0"/>
        </w:rPr>
        <w:t xml:space="preserve">(pas d’équerre en métal)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compas (</w:t>
      </w:r>
      <w:r w:rsidDel="00000000" w:rsidR="00000000" w:rsidRPr="00000000">
        <w:rPr>
          <w:rFonts w:ascii="Comic Sans MS" w:cs="Comic Sans MS" w:eastAsia="Comic Sans MS" w:hAnsi="Comic Sans MS"/>
          <w:u w:val="single"/>
          <w:vertAlign w:val="baseline"/>
          <w:rtl w:val="0"/>
        </w:rPr>
        <w:t xml:space="preserve">simple à mine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ardoise effaçable à sec (Velleda) avec 1 chiffon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feutres bleus (pour ardoise Velleda)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bâton de colle (UHU)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tube de colle gel (Scotch)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paire de bons ciseaux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boîte de crayons de couleurs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boîte de feutres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paquet de feuilles mobiles grands carreaux simples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paquet de pochettes transparentes grand format perforées 21x29,7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vertAlign w:val="baseline"/>
          <w:rtl w:val="0"/>
        </w:rPr>
        <w:t xml:space="preserve">de qualité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vertAlign w:val="baseline"/>
          <w:rtl w:val="0"/>
        </w:rPr>
        <w:t xml:space="preserve">supérieure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lutin 60 vues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vertAlign w:val="baseline"/>
          <w:rtl w:val="0"/>
        </w:rPr>
        <w:t xml:space="preserve">de qualité supérieure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2 surligneurs (jaune et vert)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5 chemises cartonnées avec élastique : 1 jaune, 1 rouge, 1 bleue, 1 verte, 1 orange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33350" distR="114300" hidden="0" layoutInCell="1" locked="0" relativeHeight="0" simplePos="0">
            <wp:simplePos x="0" y="0"/>
            <wp:positionH relativeFrom="column">
              <wp:posOffset>6178550</wp:posOffset>
            </wp:positionH>
            <wp:positionV relativeFrom="paragraph">
              <wp:posOffset>170815</wp:posOffset>
            </wp:positionV>
            <wp:extent cx="833755" cy="90678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55484" l="49598" r="7258" t="11351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906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pochette de feuilles Canson blanc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pochette de feuilles Canson couleur (24x32)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3 boîtes de mouchoirs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paire de chaussures de sport rangées dans un sac en tissu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1 « réserve de fournitures » dans un petit sac en plastique (type sac de congélation avec fermeture zip). Cette réserve comprendra :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– 9 tubes de colle en bâton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– 4 crayons à papier HB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– 10 feutres velleda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– 2 stylos à bille bleu, 2 stylos à bille vert, 2 effaceurs, cartouches d’encre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-  1 gomme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vertAlign w:val="baseline"/>
          <w:rtl w:val="0"/>
        </w:rPr>
        <w:t xml:space="preserve">Chaque fourniture sera marquée au nom de l’enfant.</w:t>
      </w: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 Nous vous déconseillons l’achat d’un matériel trop fantaisiste.</w:t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Le matériel de l’an passé peut parfaitement resservir s’il est en bon état.                                                                                    </w:t>
      </w:r>
    </w:p>
    <w:sectPr>
      <w:pgSz w:h="16838" w:w="11906"/>
      <w:pgMar w:bottom="284" w:top="284" w:left="68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omic Sans MS" w:cs="Comic Sans MS" w:eastAsia="Comic Sans MS" w:hAnsi="Comic Sans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