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5760720" cy="1584960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1"/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widowControl w:val="1"/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Fournitures scolaires rentrée 2020-2021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Pour les élèves de </w:t>
      </w: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u w:val="single"/>
          <w:vertAlign w:val="baseline"/>
          <w:rtl w:val="0"/>
        </w:rPr>
        <w:t xml:space="preserve">GRANDE SECTION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</w:pBdr>
        <w:jc w:val="center"/>
        <w:rPr>
          <w:rFonts w:ascii="Calibri" w:cs="Calibri" w:eastAsia="Calibri" w:hAnsi="Calibri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</w:pBd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vertAlign w:val="baseline"/>
          <w:rtl w:val="0"/>
        </w:rPr>
        <w:t xml:space="preserve">Classe de Claire Kahlouche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20" w:sz="4" w:val="single"/>
          <w:bottom w:color="000000" w:space="1" w:sz="4" w:val="single"/>
          <w:right w:color="000000" w:space="4" w:sz="4" w:val="single"/>
        </w:pBdr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405765" cy="34480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47880" y="3612360"/>
                          <a:ext cx="39624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405765" cy="34480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765" cy="34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rdo" w:cs="Cardo" w:eastAsia="Cardo" w:hAnsi="Cardo"/>
          <w:sz w:val="36"/>
          <w:szCs w:val="36"/>
          <w:vertAlign w:val="baseline"/>
          <w:rtl w:val="0"/>
        </w:rPr>
        <w:t xml:space="preserve">☞</w:t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pochette de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gros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crayons de couleur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2 pochettes de feutres (moyens)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6 tubes de colle uhu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pochette de Canson blanc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pochette de Canson couleur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trousse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pochette de feutres Velleda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ardoise Velleda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vertAlign w:val="baseline"/>
          <w:rtl w:val="0"/>
        </w:rPr>
        <w:t xml:space="preserve">avec effacette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823595" cy="3448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38965" y="3612360"/>
                          <a:ext cx="81407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12700</wp:posOffset>
                </wp:positionV>
                <wp:extent cx="823595" cy="3448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595" cy="344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12700</wp:posOffset>
                </wp:positionV>
                <wp:extent cx="904240" cy="3092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98643" y="3630140"/>
                          <a:ext cx="894715" cy="299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3670300</wp:posOffset>
                </wp:positionH>
                <wp:positionV relativeFrom="paragraph">
                  <wp:posOffset>12700</wp:posOffset>
                </wp:positionV>
                <wp:extent cx="904240" cy="30924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4240" cy="309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petit cartable  ou pochette plastique à rabats (format minimum </w:t>
      </w: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24 x 32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</w:t>
        <w:tab/>
        <w:t xml:space="preserve">pour le cahier de vie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2 boîtes de mouchoirs en papier</w:t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u w:val="single"/>
          <w:vertAlign w:val="baseline"/>
          <w:rtl w:val="0"/>
        </w:rPr>
        <w:t xml:space="preserve">Pour les demi-pensionnaires :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serviette de table qui sera changée le lundi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88900</wp:posOffset>
                </wp:positionV>
                <wp:extent cx="893445" cy="2438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904040" y="3662843"/>
                          <a:ext cx="88392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4165600</wp:posOffset>
                </wp:positionH>
                <wp:positionV relativeFrom="paragraph">
                  <wp:posOffset>88900</wp:posOffset>
                </wp:positionV>
                <wp:extent cx="893445" cy="24384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3445" cy="2438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8"/>
          <w:szCs w:val="28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sz w:val="36"/>
          <w:szCs w:val="36"/>
          <w:vertAlign w:val="baseline"/>
          <w:rtl w:val="0"/>
        </w:rPr>
        <w:t xml:space="preserve">☞</w:t>
      </w:r>
      <w:r w:rsidDel="00000000" w:rsidR="00000000" w:rsidRPr="00000000">
        <w:rPr>
          <w:rFonts w:ascii="Calibri" w:cs="Calibri" w:eastAsia="Calibri" w:hAnsi="Calibri"/>
          <w:sz w:val="36"/>
          <w:szCs w:val="36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1 pince à linge, dans un porte-serviette à fermeture éclair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N.B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 : Ces fournitures pourront être apportées le jour de la prérentrée (Ve 28 août A-M)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284" w:top="680" w:left="1418" w:right="74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mic Sans MS"/>
  <w:font w:name="Georgia"/>
  <w:font w:name="Calibri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ic Sans MS" w:cs="Comic Sans MS" w:eastAsia="Comic Sans MS" w:hAnsi="Comic Sans MS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